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F06004" w:rsidRDefault="00592BC9" w:rsidP="00F0600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Стоимость предложения</w:t>
            </w:r>
            <w:r w:rsidR="006A2A89">
              <w:t xml:space="preserve">, </w:t>
            </w:r>
            <w:r w:rsidR="00F06004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="00F06004">
              <w:rPr>
                <w:rStyle w:val="a8"/>
                <w:rFonts w:eastAsia="Times New Roman" w:cs="Tahoma"/>
                <w:color w:val="000000"/>
                <w:lang w:eastAsia="ru-RU"/>
              </w:rPr>
              <w:footnoteReference w:id="1"/>
            </w:r>
            <w:r w:rsidR="00F060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92BC9" w:rsidRDefault="00592BC9"/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783F79" w:rsidTr="00783F79">
        <w:tc>
          <w:tcPr>
            <w:tcW w:w="3587" w:type="dxa"/>
            <w:vAlign w:val="center"/>
          </w:tcPr>
          <w:p w:rsidR="00783F79" w:rsidRDefault="00783F79" w:rsidP="00783F79">
            <w:pPr>
              <w:jc w:val="center"/>
            </w:pPr>
            <w:r>
              <w:t>Поставщик 1</w:t>
            </w:r>
          </w:p>
        </w:tc>
        <w:tc>
          <w:tcPr>
            <w:tcW w:w="3587" w:type="dxa"/>
            <w:vAlign w:val="center"/>
          </w:tcPr>
          <w:p w:rsidR="00783F79" w:rsidRDefault="00783F79" w:rsidP="00783F79">
            <w:pPr>
              <w:jc w:val="center"/>
            </w:pPr>
            <w:r>
              <w:t>3 554 405,00</w:t>
            </w:r>
          </w:p>
        </w:tc>
        <w:tc>
          <w:tcPr>
            <w:tcW w:w="3588" w:type="dxa"/>
            <w:vAlign w:val="center"/>
          </w:tcPr>
          <w:p w:rsidR="00783F79" w:rsidRDefault="00783F79" w:rsidP="00783F79">
            <w:pPr>
              <w:jc w:val="center"/>
            </w:pPr>
            <w:r>
              <w:t>от 20.02.2023 №</w:t>
            </w:r>
            <w:r w:rsidRPr="007C46A4">
              <w:t>024КП/2023</w:t>
            </w:r>
          </w:p>
          <w:p w:rsidR="00783F79" w:rsidRDefault="00783F79" w:rsidP="00783F79">
            <w:pPr>
              <w:jc w:val="center"/>
            </w:pPr>
            <w:r>
              <w:t>от 20.02.2023 №</w:t>
            </w:r>
            <w:r w:rsidRPr="007C46A4">
              <w:t>02</w:t>
            </w:r>
            <w:r>
              <w:t>5</w:t>
            </w:r>
            <w:r w:rsidRPr="007C46A4">
              <w:t>КП/2023</w:t>
            </w:r>
          </w:p>
        </w:tc>
      </w:tr>
      <w:tr w:rsidR="00783F79" w:rsidTr="00783F79">
        <w:tc>
          <w:tcPr>
            <w:tcW w:w="3587" w:type="dxa"/>
            <w:vAlign w:val="center"/>
          </w:tcPr>
          <w:p w:rsidR="00783F79" w:rsidRDefault="00783F79" w:rsidP="00783F79">
            <w:pPr>
              <w:jc w:val="center"/>
            </w:pPr>
            <w:r>
              <w:t>Поставщик 2</w:t>
            </w:r>
          </w:p>
        </w:tc>
        <w:tc>
          <w:tcPr>
            <w:tcW w:w="3587" w:type="dxa"/>
            <w:vAlign w:val="center"/>
          </w:tcPr>
          <w:p w:rsidR="00783F79" w:rsidRDefault="00783F79" w:rsidP="00783F79">
            <w:pPr>
              <w:jc w:val="center"/>
            </w:pPr>
            <w:r>
              <w:t>3 795 097,00</w:t>
            </w:r>
          </w:p>
        </w:tc>
        <w:tc>
          <w:tcPr>
            <w:tcW w:w="3588" w:type="dxa"/>
            <w:vAlign w:val="center"/>
          </w:tcPr>
          <w:p w:rsidR="00783F79" w:rsidRDefault="00783F79" w:rsidP="00783F79">
            <w:pPr>
              <w:jc w:val="center"/>
            </w:pPr>
            <w:r>
              <w:t>от 22.02.2023 №</w:t>
            </w:r>
            <w:r w:rsidRPr="007C46A4">
              <w:t>КП100887</w:t>
            </w:r>
          </w:p>
          <w:p w:rsidR="00783F79" w:rsidRDefault="00783F79" w:rsidP="00783F79">
            <w:pPr>
              <w:jc w:val="center"/>
            </w:pPr>
            <w:r>
              <w:t>от 22.02.2023 №КП100885</w:t>
            </w:r>
          </w:p>
        </w:tc>
      </w:tr>
      <w:tr w:rsidR="00783F79" w:rsidTr="00783F79">
        <w:tc>
          <w:tcPr>
            <w:tcW w:w="3587" w:type="dxa"/>
            <w:vAlign w:val="center"/>
          </w:tcPr>
          <w:p w:rsidR="00783F79" w:rsidRDefault="00783F79" w:rsidP="00783F79">
            <w:pPr>
              <w:jc w:val="center"/>
            </w:pPr>
            <w:r>
              <w:t>Поставщик 3</w:t>
            </w:r>
          </w:p>
        </w:tc>
        <w:tc>
          <w:tcPr>
            <w:tcW w:w="3587" w:type="dxa"/>
            <w:vAlign w:val="center"/>
          </w:tcPr>
          <w:p w:rsidR="00783F79" w:rsidRDefault="00783F79" w:rsidP="00783F79">
            <w:pPr>
              <w:jc w:val="center"/>
            </w:pPr>
            <w:r>
              <w:t>3 403 912,98</w:t>
            </w:r>
          </w:p>
        </w:tc>
        <w:tc>
          <w:tcPr>
            <w:tcW w:w="3588" w:type="dxa"/>
            <w:vAlign w:val="center"/>
          </w:tcPr>
          <w:p w:rsidR="00783F79" w:rsidRDefault="00783F79" w:rsidP="00783F79">
            <w:pPr>
              <w:jc w:val="center"/>
            </w:pPr>
            <w:r>
              <w:t>от 15.02.2023 №1502-1538</w:t>
            </w:r>
          </w:p>
          <w:p w:rsidR="00783F79" w:rsidRDefault="00783F79" w:rsidP="00783F79">
            <w:pPr>
              <w:jc w:val="center"/>
            </w:pPr>
            <w:r>
              <w:t>от 15.02.2023 №1502-1553</w:t>
            </w:r>
          </w:p>
        </w:tc>
      </w:tr>
    </w:tbl>
    <w:p w:rsidR="00F967C3" w:rsidRDefault="00F967C3"/>
    <w:p w:rsidR="006A2A89" w:rsidRPr="006A2A89" w:rsidRDefault="00F06004">
      <w:pPr>
        <w:rPr>
          <w:rFonts w:cs="Tahoma"/>
          <w:sz w:val="18"/>
        </w:rPr>
      </w:pPr>
      <w:r>
        <w:rPr>
          <w:rFonts w:cs="Tahoma"/>
          <w:color w:val="000000"/>
          <w:sz w:val="18"/>
        </w:rPr>
        <w:t xml:space="preserve"> </w:t>
      </w:r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848" w:rsidRDefault="00693848" w:rsidP="00453988">
      <w:pPr>
        <w:spacing w:after="0" w:line="240" w:lineRule="auto"/>
      </w:pPr>
      <w:r>
        <w:separator/>
      </w:r>
    </w:p>
  </w:endnote>
  <w:endnote w:type="continuationSeparator" w:id="0">
    <w:p w:rsidR="00693848" w:rsidRDefault="0069384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848" w:rsidRDefault="00693848" w:rsidP="00453988">
      <w:pPr>
        <w:spacing w:after="0" w:line="240" w:lineRule="auto"/>
      </w:pPr>
      <w:r>
        <w:separator/>
      </w:r>
    </w:p>
  </w:footnote>
  <w:footnote w:type="continuationSeparator" w:id="0">
    <w:p w:rsidR="00693848" w:rsidRDefault="00693848" w:rsidP="00453988">
      <w:pPr>
        <w:spacing w:after="0" w:line="240" w:lineRule="auto"/>
      </w:pPr>
      <w:r>
        <w:continuationSeparator/>
      </w:r>
    </w:p>
  </w:footnote>
  <w:footnote w:id="1">
    <w:p w:rsidR="00F06004" w:rsidRDefault="00F06004" w:rsidP="00F0600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Цена </w:t>
      </w:r>
      <w:r>
        <w:rPr>
          <w:rFonts w:ascii="Tahoma" w:hAnsi="Tahoma" w:cs="Tahoma"/>
          <w:sz w:val="16"/>
          <w:szCs w:val="16"/>
          <w:lang w:val="ru-RU"/>
        </w:rPr>
        <w:t>включает</w:t>
      </w:r>
      <w:r>
        <w:rPr>
          <w:rFonts w:ascii="Tahoma" w:hAnsi="Tahoma" w:cs="Tahoma"/>
          <w:sz w:val="16"/>
          <w:szCs w:val="16"/>
        </w:rPr>
        <w:t xml:space="preserve"> в себя стоимость всего комплекса работ необходимого для установки и наладки новой УПАТС, согласно Технического задания (Приложение №1) и Расчета договорной цены (Приложение №2)., в </w:t>
      </w:r>
      <w:proofErr w:type="spellStart"/>
      <w:r>
        <w:rPr>
          <w:rFonts w:ascii="Tahoma" w:hAnsi="Tahoma" w:cs="Tahoma"/>
          <w:sz w:val="16"/>
          <w:szCs w:val="16"/>
        </w:rPr>
        <w:t>т.ч</w:t>
      </w:r>
      <w:proofErr w:type="spellEnd"/>
      <w:r>
        <w:rPr>
          <w:rFonts w:ascii="Tahoma" w:hAnsi="Tahoma" w:cs="Tahoma"/>
          <w:sz w:val="16"/>
          <w:szCs w:val="16"/>
        </w:rPr>
        <w:t>. погрузочно-разгрузочными работами, командировочные расходы, а также все иные расходы и затраты Подрядчика, связанные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C7E5B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2E9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3848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2A89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79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6A4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004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26A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0535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0F3E1-1865-4B07-8B4D-3120B0FD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16</cp:revision>
  <cp:lastPrinted>2016-12-27T12:18:00Z</cp:lastPrinted>
  <dcterms:created xsi:type="dcterms:W3CDTF">2021-06-11T02:56:00Z</dcterms:created>
  <dcterms:modified xsi:type="dcterms:W3CDTF">2023-04-26T11:52:00Z</dcterms:modified>
</cp:coreProperties>
</file>